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Bdr>
          <w:top w:color="auto" w:space="0" w:sz="0" w:val="none"/>
          <w:left w:color="auto" w:space="0" w:sz="0" w:val="none"/>
          <w:bottom w:color="auto" w:space="0" w:sz="0" w:val="none"/>
          <w:right w:color="auto" w:space="0" w:sz="0" w:val="none"/>
          <w:between w:color="auto" w:space="0" w:sz="0" w:val="none"/>
        </w:pBdr>
        <w:shd w:fill="ffffff" w:val="clear"/>
        <w:spacing w:before="0" w:lineRule="auto"/>
        <w:jc w:val="center"/>
        <w:rPr>
          <w:b w:val="1"/>
          <w:sz w:val="24"/>
          <w:szCs w:val="24"/>
        </w:rPr>
      </w:pPr>
      <w:bookmarkStart w:colFirst="0" w:colLast="0" w:name="_7hs9n9uobpjp" w:id="0"/>
      <w:bookmarkEnd w:id="0"/>
      <w:r w:rsidDel="00000000" w:rsidR="00000000" w:rsidRPr="00000000">
        <w:rPr>
          <w:b w:val="1"/>
          <w:sz w:val="24"/>
          <w:szCs w:val="24"/>
          <w:rtl w:val="0"/>
        </w:rPr>
        <w:t xml:space="preserve">CỘNG HÒA XÃ HỘI CHỦ NGHĨA VIỆT NAM</w:t>
      </w:r>
    </w:p>
    <w:p w:rsidR="00000000" w:rsidDel="00000000" w:rsidP="00000000" w:rsidRDefault="00000000" w:rsidRPr="00000000" w14:paraId="00000002">
      <w:pPr>
        <w:pStyle w:val="Heading2"/>
        <w:pBdr>
          <w:top w:color="auto" w:space="0" w:sz="0" w:val="none"/>
          <w:left w:color="auto" w:space="0" w:sz="0" w:val="none"/>
          <w:bottom w:color="auto" w:space="0" w:sz="0" w:val="none"/>
          <w:right w:color="auto" w:space="0" w:sz="0" w:val="none"/>
          <w:between w:color="auto" w:space="0" w:sz="0" w:val="none"/>
        </w:pBdr>
        <w:shd w:fill="ffffff" w:val="clear"/>
        <w:spacing w:before="0" w:lineRule="auto"/>
        <w:jc w:val="center"/>
        <w:rPr>
          <w:b w:val="1"/>
          <w:sz w:val="24"/>
          <w:szCs w:val="24"/>
        </w:rPr>
      </w:pPr>
      <w:bookmarkStart w:colFirst="0" w:colLast="0" w:name="_7hs9n9uobpjp" w:id="0"/>
      <w:bookmarkEnd w:id="0"/>
      <w:r w:rsidDel="00000000" w:rsidR="00000000" w:rsidRPr="00000000">
        <w:rPr>
          <w:b w:val="1"/>
          <w:sz w:val="24"/>
          <w:szCs w:val="24"/>
          <w:rtl w:val="0"/>
        </w:rPr>
        <w:t xml:space="preserve">Độc lập – Tự do – Hạnh phúc</w:t>
      </w:r>
    </w:p>
    <w:p w:rsidR="00000000" w:rsidDel="00000000" w:rsidP="00000000" w:rsidRDefault="00000000" w:rsidRPr="00000000" w14:paraId="00000003">
      <w:pPr>
        <w:pStyle w:val="Heading2"/>
        <w:pBdr>
          <w:top w:color="auto" w:space="0" w:sz="0" w:val="none"/>
          <w:left w:color="auto" w:space="0" w:sz="0" w:val="none"/>
          <w:bottom w:color="auto" w:space="0" w:sz="0" w:val="none"/>
          <w:right w:color="auto" w:space="0" w:sz="0" w:val="none"/>
          <w:between w:color="auto" w:space="0" w:sz="0" w:val="none"/>
        </w:pBdr>
        <w:shd w:fill="ffffff" w:val="clear"/>
        <w:spacing w:before="0" w:lineRule="auto"/>
        <w:jc w:val="right"/>
        <w:rPr>
          <w:i w:val="1"/>
          <w:sz w:val="24"/>
          <w:szCs w:val="24"/>
        </w:rPr>
      </w:pPr>
      <w:bookmarkStart w:colFirst="0" w:colLast="0" w:name="_7hs9n9uobpjp" w:id="0"/>
      <w:bookmarkEnd w:id="0"/>
      <w:r w:rsidDel="00000000" w:rsidR="00000000" w:rsidRPr="00000000">
        <w:rPr>
          <w:i w:val="1"/>
          <w:sz w:val="24"/>
          <w:szCs w:val="24"/>
          <w:rtl w:val="0"/>
        </w:rPr>
        <w:t xml:space="preserve"> </w:t>
      </w:r>
      <w:r w:rsidDel="00000000" w:rsidR="00000000" w:rsidRPr="00000000">
        <w:rPr>
          <w:i w:val="1"/>
          <w:sz w:val="24"/>
          <w:szCs w:val="24"/>
          <w:rtl w:val="0"/>
        </w:rPr>
        <w:t xml:space="preserve">Hà Nội</w:t>
      </w:r>
      <w:r w:rsidDel="00000000" w:rsidR="00000000" w:rsidRPr="00000000">
        <w:rPr>
          <w:i w:val="1"/>
          <w:sz w:val="24"/>
          <w:szCs w:val="24"/>
          <w:rtl w:val="0"/>
        </w:rPr>
        <w:t xml:space="preserve">, ngày 22 tháng 08 năm 2019</w:t>
      </w:r>
    </w:p>
    <w:p w:rsidR="00000000" w:rsidDel="00000000" w:rsidP="00000000" w:rsidRDefault="00000000" w:rsidRPr="00000000" w14:paraId="00000004">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300" w:before="0" w:line="335.99999999999994" w:lineRule="auto"/>
        <w:jc w:val="center"/>
        <w:rPr>
          <w:b w:val="1"/>
          <w:color w:val="000000"/>
          <w:sz w:val="26"/>
          <w:szCs w:val="26"/>
        </w:rPr>
      </w:pPr>
      <w:bookmarkStart w:colFirst="0" w:colLast="0" w:name="_eibr61vr8ndf" w:id="1"/>
      <w:bookmarkEnd w:id="1"/>
      <w:r w:rsidDel="00000000" w:rsidR="00000000" w:rsidRPr="00000000">
        <w:rPr>
          <w:b w:val="1"/>
          <w:color w:val="000000"/>
          <w:sz w:val="26"/>
          <w:szCs w:val="26"/>
          <w:rtl w:val="0"/>
        </w:rPr>
        <w:t xml:space="preserve">ĐƠN XIN XÁC NHẬN DIỆN TÍCH BÌNH QUÂN</w:t>
      </w:r>
    </w:p>
    <w:p w:rsidR="00000000" w:rsidDel="00000000" w:rsidP="00000000" w:rsidRDefault="00000000" w:rsidRPr="00000000" w14:paraId="00000005">
      <w:pPr>
        <w:pStyle w:val="Heading2"/>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lineRule="auto"/>
        <w:ind w:left="1440" w:hanging="360"/>
      </w:pPr>
      <w:bookmarkStart w:colFirst="0" w:colLast="0" w:name="_7hs9n9uobpjp" w:id="0"/>
      <w:bookmarkEnd w:id="0"/>
      <w:r w:rsidDel="00000000" w:rsidR="00000000" w:rsidRPr="00000000">
        <w:rPr>
          <w:sz w:val="24"/>
          <w:szCs w:val="24"/>
          <w:rtl w:val="0"/>
        </w:rPr>
        <w:t xml:space="preserve">Căn cứ Luật cư trú sửa đổi, bổ sung năm 2013;</w:t>
      </w:r>
    </w:p>
    <w:p w:rsidR="00000000" w:rsidDel="00000000" w:rsidP="00000000" w:rsidRDefault="00000000" w:rsidRPr="00000000" w14:paraId="00000006">
      <w:pPr>
        <w:pStyle w:val="Heading2"/>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lineRule="auto"/>
        <w:ind w:left="1440" w:hanging="360"/>
      </w:pPr>
      <w:bookmarkStart w:colFirst="0" w:colLast="0" w:name="_7hs9n9uobpjp" w:id="0"/>
      <w:bookmarkEnd w:id="0"/>
      <w:r w:rsidDel="00000000" w:rsidR="00000000" w:rsidRPr="00000000">
        <w:rPr>
          <w:sz w:val="24"/>
          <w:szCs w:val="24"/>
          <w:rtl w:val="0"/>
        </w:rPr>
        <w:t xml:space="preserve">Căn cứ Thông tư số 35/2014/TT-BCA ngày 09/09/2014 của Bộ Công an Quy định chi tiết thi hành một số điều của Luật Cư trú và Nghị định số 31/2014/NĐ-CP ngày 18/04/2014 của Chính phủ quy định chi tiết một số điều và biện pháp thi hành Luật Cư trú;</w:t>
      </w:r>
    </w:p>
    <w:p w:rsidR="00000000" w:rsidDel="00000000" w:rsidP="00000000" w:rsidRDefault="00000000" w:rsidRPr="00000000" w14:paraId="00000007">
      <w:pPr>
        <w:pStyle w:val="Heading2"/>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lineRule="auto"/>
        <w:ind w:left="1440" w:hanging="360"/>
      </w:pPr>
      <w:bookmarkStart w:colFirst="0" w:colLast="0" w:name="_7hs9n9uobpjp" w:id="0"/>
      <w:bookmarkEnd w:id="0"/>
      <w:r w:rsidDel="00000000" w:rsidR="00000000" w:rsidRPr="00000000">
        <w:rPr>
          <w:sz w:val="24"/>
          <w:szCs w:val="24"/>
          <w:rtl w:val="0"/>
        </w:rPr>
        <w:t xml:space="preserve">Căn cứ Nghị quyết số 11/2013/NQ-HĐND ngày 17/07/2013 của Hội đồng nhân dân </w:t>
      </w:r>
      <w:r w:rsidDel="00000000" w:rsidR="00000000" w:rsidRPr="00000000">
        <w:rPr>
          <w:sz w:val="24"/>
          <w:szCs w:val="24"/>
          <w:rtl w:val="0"/>
        </w:rPr>
        <w:t xml:space="preserve"> </w:t>
      </w:r>
      <w:r w:rsidDel="00000000" w:rsidR="00000000" w:rsidRPr="00000000">
        <w:rPr>
          <w:sz w:val="24"/>
          <w:szCs w:val="24"/>
          <w:rtl w:val="0"/>
        </w:rPr>
        <w:t xml:space="preserve">thành phố Hà Nội</w:t>
      </w:r>
      <w:r w:rsidDel="00000000" w:rsidR="00000000" w:rsidRPr="00000000">
        <w:rPr>
          <w:sz w:val="24"/>
          <w:szCs w:val="24"/>
          <w:rtl w:val="0"/>
        </w:rPr>
        <w:t xml:space="preserve"> </w:t>
      </w:r>
      <w:r w:rsidDel="00000000" w:rsidR="00000000" w:rsidRPr="00000000">
        <w:rPr>
          <w:sz w:val="24"/>
          <w:szCs w:val="24"/>
          <w:rtl w:val="0"/>
        </w:rPr>
        <w:t xml:space="preserve">Hà Nội</w:t>
      </w:r>
      <w:r w:rsidDel="00000000" w:rsidR="00000000" w:rsidRPr="00000000">
        <w:rPr>
          <w:sz w:val="24"/>
          <w:szCs w:val="24"/>
          <w:rtl w:val="0"/>
        </w:rPr>
        <w:t xml:space="preserve"> khóa XIV kỳ họp thứ 7 Quy định diện tích ở bình quân đối với nhà thuê ở nội thành để công dân được đăng ký thường trú ở nội thành </w:t>
      </w:r>
      <w:r w:rsidDel="00000000" w:rsidR="00000000" w:rsidRPr="00000000">
        <w:rPr>
          <w:sz w:val="24"/>
          <w:szCs w:val="24"/>
          <w:rtl w:val="0"/>
        </w:rPr>
        <w:t xml:space="preserve"> </w:t>
      </w:r>
      <w:r w:rsidDel="00000000" w:rsidR="00000000" w:rsidRPr="00000000">
        <w:rPr>
          <w:sz w:val="24"/>
          <w:szCs w:val="24"/>
          <w:rtl w:val="0"/>
        </w:rPr>
        <w:t xml:space="preserve">thành phố Hà Nội</w:t>
      </w:r>
      <w:r w:rsidDel="00000000" w:rsidR="00000000" w:rsidRPr="00000000">
        <w:rPr>
          <w:sz w:val="24"/>
          <w:szCs w:val="24"/>
          <w:rtl w:val="0"/>
        </w:rPr>
        <w:t xml:space="preserve"> </w:t>
      </w:r>
      <w:r w:rsidDel="00000000" w:rsidR="00000000" w:rsidRPr="00000000">
        <w:rPr>
          <w:sz w:val="24"/>
          <w:szCs w:val="24"/>
          <w:rtl w:val="0"/>
        </w:rPr>
        <w:t xml:space="preserve">Hà Nội</w:t>
      </w:r>
      <w:r w:rsidDel="00000000" w:rsidR="00000000" w:rsidRPr="00000000">
        <w:rPr>
          <w:sz w:val="24"/>
          <w:szCs w:val="24"/>
          <w:rtl w:val="0"/>
        </w:rPr>
        <w:t xml:space="preserve">;</w:t>
      </w:r>
    </w:p>
    <w:p w:rsidR="00000000" w:rsidDel="00000000" w:rsidP="00000000" w:rsidRDefault="00000000" w:rsidRPr="00000000" w14:paraId="00000008">
      <w:pPr>
        <w:pStyle w:val="Heading2"/>
        <w:numPr>
          <w:ilvl w:val="0"/>
          <w:numId w:val="1"/>
        </w:numPr>
        <w:pBdr>
          <w:top w:color="auto" w:space="0" w:sz="0" w:val="none"/>
          <w:bottom w:color="auto" w:space="0" w:sz="0" w:val="none"/>
          <w:right w:color="auto" w:space="0" w:sz="0" w:val="none"/>
          <w:between w:color="auto" w:space="0" w:sz="0" w:val="none"/>
        </w:pBdr>
        <w:shd w:fill="ffffff" w:val="clear"/>
        <w:spacing w:after="360" w:before="0" w:lineRule="auto"/>
        <w:ind w:left="1440" w:hanging="360"/>
      </w:pPr>
      <w:bookmarkStart w:colFirst="0" w:colLast="0" w:name="_7hs9n9uobpjp" w:id="0"/>
      <w:bookmarkEnd w:id="0"/>
      <w:r w:rsidDel="00000000" w:rsidR="00000000" w:rsidRPr="00000000">
        <w:rPr>
          <w:sz w:val="24"/>
          <w:szCs w:val="24"/>
          <w:rtl w:val="0"/>
        </w:rPr>
        <w:t xml:space="preserve">Căn cứ Nghị quyết số 21/2016/NQ-HĐND ngày 06/12/2016 của Hội đồng nhân dân thành phố Hà Nội khóa XV kỳ họp thứ 3 Về việc kéo dài thời hạn áp dụng Nghị quyết số 11/2013/NQ-HĐND ngày 17/07/2013 của Hội đồng nhân dân thành phố về quy định diện tích ở bình quân đối với nhà thuê ở nội thành để công dân được đăng ký thường trú ở nội thành </w:t>
      </w:r>
      <w:r w:rsidDel="00000000" w:rsidR="00000000" w:rsidRPr="00000000">
        <w:rPr>
          <w:sz w:val="24"/>
          <w:szCs w:val="24"/>
          <w:rtl w:val="0"/>
        </w:rPr>
        <w:t xml:space="preserve"> </w:t>
      </w:r>
      <w:r w:rsidDel="00000000" w:rsidR="00000000" w:rsidRPr="00000000">
        <w:rPr>
          <w:sz w:val="24"/>
          <w:szCs w:val="24"/>
          <w:rtl w:val="0"/>
        </w:rPr>
        <w:t xml:space="preserve">thành phố Hà Nội</w:t>
      </w:r>
      <w:r w:rsidDel="00000000" w:rsidR="00000000" w:rsidRPr="00000000">
        <w:rPr>
          <w:sz w:val="24"/>
          <w:szCs w:val="24"/>
          <w:rtl w:val="0"/>
        </w:rPr>
        <w:t xml:space="preserve"> </w:t>
      </w:r>
      <w:r w:rsidDel="00000000" w:rsidR="00000000" w:rsidRPr="00000000">
        <w:rPr>
          <w:sz w:val="24"/>
          <w:szCs w:val="24"/>
          <w:rtl w:val="0"/>
        </w:rPr>
        <w:t xml:space="preserve">Hà Nội</w:t>
      </w:r>
      <w:r w:rsidDel="00000000" w:rsidR="00000000" w:rsidRPr="00000000">
        <w:rPr>
          <w:sz w:val="24"/>
          <w:szCs w:val="24"/>
          <w:rtl w:val="0"/>
        </w:rPr>
        <w:t xml:space="preserve"> và ủy quyền cho Thường trực Hội đồng nhân dân thành phố xem xét, cho ý kiến các dự án đầu tư xây dựng nhà ở thuộc thẩm quyền của Hội đồng nhân dân thành phố theo quy định tại khoản 5 Điều 9 Nghị định số 99/2015/NĐ-CP ngày 20/10/2015 của Chính phủ,</w:t>
      </w:r>
    </w:p>
    <w:tbl>
      <w:tblPr>
        <w:tblStyle w:val="Table1"/>
        <w:tblW w:w="9360.0" w:type="dxa"/>
        <w:jc w:val="left"/>
        <w:tblBorders>
          <w:top w:color="000000" w:space="0" w:sz="6" w:val="single"/>
          <w:left w:color="000000" w:space="0" w:sz="6" w:val="single"/>
          <w:bottom w:color="000000" w:space="0" w:sz="0" w:val="nil"/>
          <w:right w:color="000000" w:space="0" w:sz="0" w:val="nil"/>
          <w:insideH w:color="000000" w:space="0" w:sz="6" w:val="single"/>
          <w:insideV w:color="000000" w:space="0" w:sz="6" w:val="single"/>
        </w:tblBorders>
        <w:tblLayout w:type="fixed"/>
        <w:tblLook w:val="0600"/>
      </w:tblPr>
      <w:tblGrid>
        <w:gridCol w:w="1553.0044843049327"/>
        <w:gridCol w:w="7806.995515695067"/>
        <w:tblGridChange w:id="0">
          <w:tblGrid>
            <w:gridCol w:w="1553.0044843049327"/>
            <w:gridCol w:w="7806.995515695067"/>
          </w:tblGrid>
        </w:tblGridChange>
      </w:tblGrid>
      <w:tr>
        <w:trPr>
          <w:cantSplit w:val="0"/>
          <w:trHeight w:val="1035" w:hRule="atLeast"/>
          <w:tblHeader w:val="0"/>
        </w:trPr>
        <w:tc>
          <w:tcPr>
            <w:tcBorders>
              <w:top w:color="000000" w:space="0" w:sz="0" w:val="nil"/>
              <w:left w:color="000000" w:space="0" w:sz="0" w:val="nil"/>
              <w:bottom w:color="000000" w:space="0" w:sz="6" w:val="single"/>
              <w:right w:color="000000" w:space="0" w:sz="6" w:val="single"/>
            </w:tcBorders>
            <w:tcMar>
              <w:top w:w="120.0" w:type="dxa"/>
              <w:left w:w="120.0" w:type="dxa"/>
              <w:bottom w:w="120.0" w:type="dxa"/>
              <w:right w:w="120.0" w:type="dxa"/>
            </w:tcMar>
            <w:vAlign w:val="center"/>
          </w:tcPr>
          <w:p w:rsidR="00000000" w:rsidDel="00000000" w:rsidP="00000000" w:rsidRDefault="00000000" w:rsidRPr="00000000" w14:paraId="00000009">
            <w:pPr>
              <w:pStyle w:val="Heading2"/>
              <w:spacing w:after="360" w:before="0" w:lineRule="auto"/>
              <w:rPr>
                <w:sz w:val="24"/>
                <w:szCs w:val="24"/>
              </w:rPr>
            </w:pPr>
            <w:bookmarkStart w:colFirst="0" w:colLast="0" w:name="_7hs9n9uobpjp" w:id="0"/>
            <w:bookmarkEnd w:id="0"/>
            <w:r w:rsidDel="00000000" w:rsidR="00000000" w:rsidRPr="00000000">
              <w:rPr>
                <w:b w:val="1"/>
                <w:sz w:val="24"/>
                <w:szCs w:val="24"/>
                <w:rtl w:val="0"/>
              </w:rPr>
              <w:t xml:space="preserve">Kính gửi:</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120.0" w:type="dxa"/>
              <w:left w:w="120.0" w:type="dxa"/>
              <w:bottom w:w="120.0" w:type="dxa"/>
              <w:right w:w="120.0" w:type="dxa"/>
            </w:tcMar>
            <w:vAlign w:val="center"/>
          </w:tcPr>
          <w:p w:rsidR="00000000" w:rsidDel="00000000" w:rsidP="00000000" w:rsidRDefault="00000000" w:rsidRPr="00000000" w14:paraId="0000000A">
            <w:pPr>
              <w:pStyle w:val="Heading2"/>
              <w:spacing w:after="360" w:before="0" w:lineRule="auto"/>
              <w:rPr>
                <w:b w:val="1"/>
                <w:sz w:val="24"/>
                <w:szCs w:val="24"/>
              </w:rPr>
            </w:pPr>
            <w:bookmarkStart w:colFirst="0" w:colLast="0" w:name="_7hs9n9uobpjp" w:id="0"/>
            <w:bookmarkEnd w:id="0"/>
            <w:r w:rsidDel="00000000" w:rsidR="00000000" w:rsidRPr="00000000">
              <w:rPr>
                <w:sz w:val="24"/>
                <w:szCs w:val="24"/>
                <w:rtl w:val="0"/>
              </w:rPr>
              <w:t xml:space="preserve">–         </w:t>
            </w:r>
            <w:r w:rsidDel="00000000" w:rsidR="00000000" w:rsidRPr="00000000">
              <w:rPr>
                <w:b w:val="1"/>
                <w:sz w:val="24"/>
                <w:szCs w:val="24"/>
                <w:rtl w:val="0"/>
              </w:rPr>
              <w:t xml:space="preserve">Ủy ban nhân dân phường Yên Hòa</w:t>
            </w:r>
          </w:p>
          <w:p w:rsidR="00000000" w:rsidDel="00000000" w:rsidP="00000000" w:rsidRDefault="00000000" w:rsidRPr="00000000" w14:paraId="0000000B">
            <w:pPr>
              <w:pStyle w:val="Heading2"/>
              <w:pBdr>
                <w:top w:color="auto" w:space="0" w:sz="0" w:val="none"/>
                <w:left w:color="auto" w:space="0" w:sz="0" w:val="none"/>
                <w:bottom w:color="auto" w:space="0" w:sz="0" w:val="none"/>
                <w:right w:color="auto" w:space="0" w:sz="0" w:val="none"/>
                <w:between w:color="auto" w:space="0" w:sz="0" w:val="none"/>
              </w:pBdr>
              <w:spacing w:after="480" w:before="0" w:lineRule="auto"/>
              <w:rPr>
                <w:b w:val="1"/>
                <w:sz w:val="24"/>
                <w:szCs w:val="24"/>
              </w:rPr>
            </w:pPr>
            <w:bookmarkStart w:colFirst="0" w:colLast="0" w:name="_7hs9n9uobpjp" w:id="0"/>
            <w:bookmarkEnd w:id="0"/>
            <w:r w:rsidDel="00000000" w:rsidR="00000000" w:rsidRPr="00000000">
              <w:rPr>
                <w:sz w:val="24"/>
                <w:szCs w:val="24"/>
                <w:rtl w:val="0"/>
              </w:rPr>
              <w:t xml:space="preserve">–         </w:t>
            </w:r>
            <w:r w:rsidDel="00000000" w:rsidR="00000000" w:rsidRPr="00000000">
              <w:rPr>
                <w:b w:val="1"/>
                <w:sz w:val="24"/>
                <w:szCs w:val="24"/>
                <w:rtl w:val="0"/>
              </w:rPr>
              <w:t xml:space="preserve">Cán bộ phụ trách địa chính phường Yên Hòa</w:t>
            </w:r>
          </w:p>
        </w:tc>
      </w:tr>
    </w:tbl>
    <w:p w:rsidR="00000000" w:rsidDel="00000000" w:rsidP="00000000" w:rsidRDefault="00000000" w:rsidRPr="00000000" w14:paraId="0000000C">
      <w:pPr>
        <w:pStyle w:val="Heading2"/>
        <w:pBdr>
          <w:top w:color="auto" w:space="0" w:sz="0" w:val="none"/>
          <w:left w:color="auto" w:space="0" w:sz="0" w:val="none"/>
          <w:bottom w:color="auto" w:space="0" w:sz="0" w:val="none"/>
          <w:right w:color="auto" w:space="0" w:sz="0" w:val="none"/>
          <w:between w:color="auto" w:space="0" w:sz="0" w:val="none"/>
        </w:pBdr>
        <w:shd w:fill="ffffff" w:val="clear"/>
        <w:spacing w:before="0" w:lineRule="auto"/>
        <w:rPr>
          <w:sz w:val="24"/>
          <w:szCs w:val="24"/>
        </w:rPr>
      </w:pPr>
      <w:bookmarkStart w:colFirst="0" w:colLast="0" w:name="_7hs9n9uobpjp" w:id="0"/>
      <w:bookmarkEnd w:id="0"/>
      <w:r w:rsidDel="00000000" w:rsidR="00000000" w:rsidRPr="00000000">
        <w:rPr>
          <w:sz w:val="24"/>
          <w:szCs w:val="24"/>
          <w:rtl w:val="0"/>
        </w:rPr>
        <w:t xml:space="preserve">Tôi là:  Trần Văn Trường                                    </w:t>
        <w:tab/>
        <w:t xml:space="preserve">Sinh năm: 1987</w:t>
      </w:r>
    </w:p>
    <w:p w:rsidR="00000000" w:rsidDel="00000000" w:rsidP="00000000" w:rsidRDefault="00000000" w:rsidRPr="00000000" w14:paraId="0000000D">
      <w:pPr>
        <w:pStyle w:val="Heading2"/>
        <w:pBdr>
          <w:top w:color="auto" w:space="0" w:sz="0" w:val="none"/>
          <w:left w:color="auto" w:space="0" w:sz="0" w:val="none"/>
          <w:bottom w:color="auto" w:space="0" w:sz="0" w:val="none"/>
          <w:right w:color="auto" w:space="0" w:sz="0" w:val="none"/>
          <w:between w:color="auto" w:space="0" w:sz="0" w:val="none"/>
        </w:pBdr>
        <w:shd w:fill="ffffff" w:val="clear"/>
        <w:spacing w:before="0" w:lineRule="auto"/>
        <w:rPr>
          <w:sz w:val="24"/>
          <w:szCs w:val="24"/>
        </w:rPr>
      </w:pPr>
      <w:bookmarkStart w:colFirst="0" w:colLast="0" w:name="_7hs9n9uobpjp" w:id="0"/>
      <w:bookmarkEnd w:id="0"/>
      <w:r w:rsidDel="00000000" w:rsidR="00000000" w:rsidRPr="00000000">
        <w:rPr>
          <w:sz w:val="24"/>
          <w:szCs w:val="24"/>
          <w:rtl w:val="0"/>
        </w:rPr>
        <w:t xml:space="preserve">CMND số 0350001112 cấp ngày 22/11/2016 tại Cục Cảnh sát ĐKQL và DLQG về dân cư</w:t>
      </w:r>
    </w:p>
    <w:p w:rsidR="00000000" w:rsidDel="00000000" w:rsidP="00000000" w:rsidRDefault="00000000" w:rsidRPr="00000000" w14:paraId="0000000E">
      <w:pPr>
        <w:pStyle w:val="Heading2"/>
        <w:pBdr>
          <w:top w:color="auto" w:space="0" w:sz="0" w:val="none"/>
          <w:left w:color="auto" w:space="0" w:sz="0" w:val="none"/>
          <w:bottom w:color="auto" w:space="0" w:sz="0" w:val="none"/>
          <w:right w:color="auto" w:space="0" w:sz="0" w:val="none"/>
          <w:between w:color="auto" w:space="0" w:sz="0" w:val="none"/>
        </w:pBdr>
        <w:shd w:fill="ffffff" w:val="clear"/>
        <w:spacing w:before="0" w:lineRule="auto"/>
        <w:rPr>
          <w:sz w:val="24"/>
          <w:szCs w:val="24"/>
        </w:rPr>
      </w:pPr>
      <w:bookmarkStart w:colFirst="0" w:colLast="0" w:name="_7hs9n9uobpjp" w:id="0"/>
      <w:bookmarkEnd w:id="0"/>
      <w:r w:rsidDel="00000000" w:rsidR="00000000" w:rsidRPr="00000000">
        <w:rPr>
          <w:sz w:val="24"/>
          <w:szCs w:val="24"/>
          <w:rtl w:val="0"/>
        </w:rPr>
        <w:t xml:space="preserve">Số điện thoại: 0912345667</w:t>
      </w:r>
    </w:p>
    <w:p w:rsidR="00000000" w:rsidDel="00000000" w:rsidP="00000000" w:rsidRDefault="00000000" w:rsidRPr="00000000" w14:paraId="0000000F">
      <w:pPr>
        <w:pStyle w:val="Heading2"/>
        <w:pBdr>
          <w:top w:color="auto" w:space="0" w:sz="0" w:val="none"/>
          <w:left w:color="auto" w:space="0" w:sz="0" w:val="none"/>
          <w:bottom w:color="auto" w:space="0" w:sz="0" w:val="none"/>
          <w:right w:color="auto" w:space="0" w:sz="0" w:val="none"/>
          <w:between w:color="auto" w:space="0" w:sz="0" w:val="none"/>
        </w:pBdr>
        <w:shd w:fill="ffffff" w:val="clear"/>
        <w:spacing w:before="0" w:lineRule="auto"/>
        <w:rPr>
          <w:sz w:val="24"/>
          <w:szCs w:val="24"/>
        </w:rPr>
      </w:pPr>
      <w:bookmarkStart w:colFirst="0" w:colLast="0" w:name="_7hs9n9uobpjp" w:id="0"/>
      <w:bookmarkEnd w:id="0"/>
      <w:r w:rsidDel="00000000" w:rsidR="00000000" w:rsidRPr="00000000">
        <w:rPr>
          <w:sz w:val="24"/>
          <w:szCs w:val="24"/>
          <w:rtl w:val="0"/>
        </w:rPr>
        <w:t xml:space="preserve">Tôi làm đơn này xin trình bày với quý cơ quan nội dung sau:</w:t>
      </w:r>
    </w:p>
    <w:p w:rsidR="00000000" w:rsidDel="00000000" w:rsidP="00000000" w:rsidRDefault="00000000" w:rsidRPr="00000000" w14:paraId="00000010">
      <w:pPr>
        <w:pStyle w:val="Heading2"/>
        <w:pBdr>
          <w:top w:color="auto" w:space="0" w:sz="0" w:val="none"/>
          <w:left w:color="auto" w:space="0" w:sz="0" w:val="none"/>
          <w:bottom w:color="auto" w:space="0" w:sz="0" w:val="none"/>
          <w:right w:color="auto" w:space="0" w:sz="0" w:val="none"/>
          <w:between w:color="auto" w:space="0" w:sz="0" w:val="none"/>
        </w:pBdr>
        <w:shd w:fill="ffffff" w:val="clear"/>
        <w:spacing w:before="0" w:lineRule="auto"/>
        <w:rPr>
          <w:sz w:val="24"/>
          <w:szCs w:val="24"/>
        </w:rPr>
      </w:pPr>
      <w:bookmarkStart w:colFirst="0" w:colLast="0" w:name="_7hs9n9uobpjp" w:id="0"/>
      <w:bookmarkEnd w:id="0"/>
      <w:r w:rsidDel="00000000" w:rsidR="00000000" w:rsidRPr="00000000">
        <w:rPr>
          <w:sz w:val="24"/>
          <w:szCs w:val="24"/>
          <w:rtl w:val="0"/>
        </w:rPr>
        <w:t xml:space="preserve">Hiện tôi đang thuê ngôi nhà tại địa chỉ số 89 ngõ 66 đường Nguyễn Khang, phường Yên Hòa, quận Cầu Giấy, </w:t>
      </w:r>
      <w:r w:rsidDel="00000000" w:rsidR="00000000" w:rsidRPr="00000000">
        <w:rPr>
          <w:sz w:val="24"/>
          <w:szCs w:val="24"/>
          <w:rtl w:val="0"/>
        </w:rPr>
        <w:t xml:space="preserve"> </w:t>
      </w:r>
      <w:r w:rsidDel="00000000" w:rsidR="00000000" w:rsidRPr="00000000">
        <w:rPr>
          <w:sz w:val="24"/>
          <w:szCs w:val="24"/>
          <w:rtl w:val="0"/>
        </w:rPr>
        <w:t xml:space="preserve">thành phố Hà Nội</w:t>
      </w:r>
      <w:r w:rsidDel="00000000" w:rsidR="00000000" w:rsidRPr="00000000">
        <w:rPr>
          <w:sz w:val="24"/>
          <w:szCs w:val="24"/>
          <w:rtl w:val="0"/>
        </w:rPr>
        <w:t xml:space="preserve"> </w:t>
      </w:r>
      <w:r w:rsidDel="00000000" w:rsidR="00000000" w:rsidRPr="00000000">
        <w:rPr>
          <w:sz w:val="24"/>
          <w:szCs w:val="24"/>
          <w:rtl w:val="0"/>
        </w:rPr>
        <w:t xml:space="preserve">Hà Nội</w:t>
      </w:r>
      <w:r w:rsidDel="00000000" w:rsidR="00000000" w:rsidRPr="00000000">
        <w:rPr>
          <w:sz w:val="24"/>
          <w:szCs w:val="24"/>
          <w:rtl w:val="0"/>
        </w:rPr>
        <w:t xml:space="preserve"> và sinh sống liên tục ở đây 03 (ba) năm. Tổng diện tích sàn là 60 m</w:t>
      </w:r>
      <w:r w:rsidDel="00000000" w:rsidR="00000000" w:rsidRPr="00000000">
        <w:rPr>
          <w:sz w:val="18"/>
          <w:szCs w:val="18"/>
          <w:rtl w:val="0"/>
        </w:rPr>
        <w:t xml:space="preserve">2</w:t>
      </w:r>
      <w:r w:rsidDel="00000000" w:rsidR="00000000" w:rsidRPr="00000000">
        <w:rPr>
          <w:sz w:val="24"/>
          <w:szCs w:val="24"/>
          <w:rtl w:val="0"/>
        </w:rPr>
        <w:t xml:space="preserve">. Gia đình tôi gồm 03 (ba) người, gồm tôi, vợ và con trai. Như vậy, diện tích ở bình quân đối với gia đình tôi là 20m2/người. Nay tôi có nhu cầu đăng ký thường trú tại </w:t>
      </w:r>
      <w:r w:rsidDel="00000000" w:rsidR="00000000" w:rsidRPr="00000000">
        <w:rPr>
          <w:sz w:val="24"/>
          <w:szCs w:val="24"/>
          <w:rtl w:val="0"/>
        </w:rPr>
        <w:t xml:space="preserve"> </w:t>
      </w:r>
      <w:r w:rsidDel="00000000" w:rsidR="00000000" w:rsidRPr="00000000">
        <w:rPr>
          <w:sz w:val="24"/>
          <w:szCs w:val="24"/>
          <w:rtl w:val="0"/>
        </w:rPr>
        <w:t xml:space="preserve">thành phố Hà Nội</w:t>
      </w:r>
      <w:r w:rsidDel="00000000" w:rsidR="00000000" w:rsidRPr="00000000">
        <w:rPr>
          <w:sz w:val="24"/>
          <w:szCs w:val="24"/>
          <w:rtl w:val="0"/>
        </w:rPr>
        <w:t xml:space="preserve"> </w:t>
      </w:r>
      <w:r w:rsidDel="00000000" w:rsidR="00000000" w:rsidRPr="00000000">
        <w:rPr>
          <w:sz w:val="24"/>
          <w:szCs w:val="24"/>
          <w:rtl w:val="0"/>
        </w:rPr>
        <w:t xml:space="preserve">Hà Nội</w:t>
      </w:r>
      <w:r w:rsidDel="00000000" w:rsidR="00000000" w:rsidRPr="00000000">
        <w:rPr>
          <w:sz w:val="24"/>
          <w:szCs w:val="24"/>
          <w:rtl w:val="0"/>
        </w:rPr>
        <w:t xml:space="preserve"> để thuận tiện trong công việc và học tập của gia đình tôi.</w:t>
      </w:r>
    </w:p>
    <w:p w:rsidR="00000000" w:rsidDel="00000000" w:rsidP="00000000" w:rsidRDefault="00000000" w:rsidRPr="00000000" w14:paraId="00000011">
      <w:pPr>
        <w:pStyle w:val="Heading2"/>
        <w:pBdr>
          <w:top w:color="auto" w:space="0" w:sz="0" w:val="none"/>
          <w:left w:color="auto" w:space="0" w:sz="0" w:val="none"/>
          <w:bottom w:color="auto" w:space="0" w:sz="0" w:val="none"/>
          <w:right w:color="auto" w:space="0" w:sz="0" w:val="none"/>
          <w:between w:color="auto" w:space="0" w:sz="0" w:val="none"/>
        </w:pBdr>
        <w:shd w:fill="ffffff" w:val="clear"/>
        <w:spacing w:before="0" w:lineRule="auto"/>
        <w:rPr>
          <w:sz w:val="24"/>
          <w:szCs w:val="24"/>
        </w:rPr>
      </w:pPr>
      <w:bookmarkStart w:colFirst="0" w:colLast="0" w:name="_7hs9n9uobpjp" w:id="0"/>
      <w:bookmarkEnd w:id="0"/>
      <w:r w:rsidDel="00000000" w:rsidR="00000000" w:rsidRPr="00000000">
        <w:rPr>
          <w:sz w:val="24"/>
          <w:szCs w:val="24"/>
          <w:rtl w:val="0"/>
        </w:rPr>
        <w:t xml:space="preserve">Căn cứ pháp lý cụ thể:</w:t>
      </w:r>
    </w:p>
    <w:p w:rsidR="00000000" w:rsidDel="00000000" w:rsidP="00000000" w:rsidRDefault="00000000" w:rsidRPr="00000000" w14:paraId="00000012">
      <w:pPr>
        <w:pStyle w:val="Heading2"/>
        <w:pBdr>
          <w:top w:color="auto" w:space="0" w:sz="0" w:val="none"/>
          <w:left w:color="auto" w:space="30" w:sz="0" w:val="none"/>
          <w:bottom w:color="auto" w:space="0" w:sz="0" w:val="none"/>
          <w:right w:color="auto" w:space="0" w:sz="0" w:val="none"/>
          <w:between w:color="auto" w:space="0" w:sz="0" w:val="none"/>
        </w:pBdr>
        <w:shd w:fill="ffffff" w:val="clear"/>
        <w:spacing w:before="0" w:lineRule="auto"/>
        <w:rPr>
          <w:b w:val="1"/>
          <w:i w:val="1"/>
          <w:sz w:val="24"/>
          <w:szCs w:val="24"/>
        </w:rPr>
      </w:pPr>
      <w:bookmarkStart w:colFirst="0" w:colLast="0" w:name="_7hs9n9uobpjp" w:id="0"/>
      <w:bookmarkEnd w:id="0"/>
      <w:r w:rsidDel="00000000" w:rsidR="00000000" w:rsidRPr="00000000">
        <w:rPr>
          <w:sz w:val="24"/>
          <w:szCs w:val="24"/>
          <w:rtl w:val="0"/>
        </w:rPr>
        <w:t xml:space="preserve">+ Căn cứ Điều 21 Luật Cư trú sửa đổi, bổ sung năm 2013, dẫn chiếu đến điểm d khoản 1 Điều 6 Thông tư số 35/2014/TT-BCA ngày 09/09/2014 của Bộ Công an Quy định chi tiết thi hành một số điều của Luật Cư trú và Nghị định số 31/2014/NĐ-CP ngày 18/04/2014 của Chính phủ quy định chi tiết một số điều và biện pháp thi hành Luật Cư trú: “</w:t>
      </w:r>
      <w:r w:rsidDel="00000000" w:rsidR="00000000" w:rsidRPr="00000000">
        <w:rPr>
          <w:b w:val="1"/>
          <w:i w:val="1"/>
          <w:sz w:val="24"/>
          <w:szCs w:val="24"/>
          <w:rtl w:val="0"/>
        </w:rPr>
        <w:t xml:space="preserve">Điều 6. Hồ sơ đăng ký thường trú</w:t>
      </w:r>
    </w:p>
    <w:p w:rsidR="00000000" w:rsidDel="00000000" w:rsidP="00000000" w:rsidRDefault="00000000" w:rsidRPr="00000000" w14:paraId="00000013">
      <w:pPr>
        <w:pStyle w:val="Heading2"/>
        <w:pBdr>
          <w:top w:color="auto" w:space="0" w:sz="0" w:val="none"/>
          <w:left w:color="auto" w:space="30" w:sz="0" w:val="none"/>
          <w:bottom w:color="auto" w:space="0" w:sz="0" w:val="none"/>
          <w:right w:color="auto" w:space="0" w:sz="0" w:val="none"/>
          <w:between w:color="auto" w:space="0" w:sz="0" w:val="none"/>
        </w:pBdr>
        <w:shd w:fill="ffffff" w:val="clear"/>
        <w:spacing w:before="0" w:lineRule="auto"/>
        <w:rPr>
          <w:i w:val="1"/>
          <w:sz w:val="24"/>
          <w:szCs w:val="24"/>
        </w:rPr>
      </w:pPr>
      <w:bookmarkStart w:colFirst="0" w:colLast="0" w:name="_7hs9n9uobpjp" w:id="0"/>
      <w:bookmarkEnd w:id="0"/>
      <w:r w:rsidDel="00000000" w:rsidR="00000000" w:rsidRPr="00000000">
        <w:rPr>
          <w:i w:val="1"/>
          <w:sz w:val="24"/>
          <w:szCs w:val="24"/>
          <w:rtl w:val="0"/>
        </w:rPr>
        <w:t xml:space="preserve">….</w:t>
      </w:r>
    </w:p>
    <w:p w:rsidR="00000000" w:rsidDel="00000000" w:rsidP="00000000" w:rsidRDefault="00000000" w:rsidRPr="00000000" w14:paraId="00000014">
      <w:pPr>
        <w:pStyle w:val="Heading2"/>
        <w:pBdr>
          <w:top w:color="auto" w:space="0" w:sz="0" w:val="none"/>
          <w:left w:color="auto" w:space="30" w:sz="0" w:val="none"/>
          <w:bottom w:color="auto" w:space="0" w:sz="0" w:val="none"/>
          <w:right w:color="auto" w:space="0" w:sz="0" w:val="none"/>
          <w:between w:color="auto" w:space="0" w:sz="0" w:val="none"/>
        </w:pBdr>
        <w:shd w:fill="ffffff" w:val="clear"/>
        <w:spacing w:before="0" w:lineRule="auto"/>
        <w:rPr>
          <w:sz w:val="24"/>
          <w:szCs w:val="24"/>
        </w:rPr>
      </w:pPr>
      <w:bookmarkStart w:colFirst="0" w:colLast="0" w:name="_7hs9n9uobpjp" w:id="0"/>
      <w:bookmarkEnd w:id="0"/>
      <w:r w:rsidDel="00000000" w:rsidR="00000000" w:rsidRPr="00000000">
        <w:rPr>
          <w:i w:val="1"/>
          <w:sz w:val="24"/>
          <w:szCs w:val="24"/>
          <w:rtl w:val="0"/>
        </w:rPr>
        <w:t xml:space="preserve">d) … Đối với chỗ ở hợp pháp do thuê, mượn, ở nhờ tại thành phố trực thuộc Trung ương phải có xác nhận của Ủy ban nhân dân cấp xã về điều kiện diện tích bình quân bảo đảm theo quy định của Hội đồng nhân dân thành phố trực thuộc Trung ương</w:t>
      </w:r>
      <w:r w:rsidDel="00000000" w:rsidR="00000000" w:rsidRPr="00000000">
        <w:rPr>
          <w:sz w:val="24"/>
          <w:szCs w:val="24"/>
          <w:rtl w:val="0"/>
        </w:rPr>
        <w:t xml:space="preserve">”;</w:t>
      </w:r>
    </w:p>
    <w:p w:rsidR="00000000" w:rsidDel="00000000" w:rsidP="00000000" w:rsidRDefault="00000000" w:rsidRPr="00000000" w14:paraId="00000015">
      <w:pPr>
        <w:pStyle w:val="Heading2"/>
        <w:pBdr>
          <w:top w:color="auto" w:space="0" w:sz="0" w:val="none"/>
          <w:left w:color="auto" w:space="30" w:sz="0" w:val="none"/>
          <w:bottom w:color="auto" w:space="0" w:sz="0" w:val="none"/>
          <w:right w:color="auto" w:space="0" w:sz="0" w:val="none"/>
          <w:between w:color="auto" w:space="0" w:sz="0" w:val="none"/>
        </w:pBdr>
        <w:shd w:fill="ffffff" w:val="clear"/>
        <w:spacing w:before="0" w:lineRule="auto"/>
        <w:rPr>
          <w:i w:val="1"/>
          <w:sz w:val="24"/>
          <w:szCs w:val="24"/>
        </w:rPr>
      </w:pPr>
      <w:bookmarkStart w:colFirst="0" w:colLast="0" w:name="_7hs9n9uobpjp" w:id="0"/>
      <w:bookmarkEnd w:id="0"/>
      <w:r w:rsidDel="00000000" w:rsidR="00000000" w:rsidRPr="00000000">
        <w:rPr>
          <w:sz w:val="24"/>
          <w:szCs w:val="24"/>
          <w:rtl w:val="0"/>
        </w:rPr>
        <w:t xml:space="preserve">+ Căn cứ Điều 1 Quyết nghị của Hội đồng nhân dân </w:t>
      </w:r>
      <w:r w:rsidDel="00000000" w:rsidR="00000000" w:rsidRPr="00000000">
        <w:rPr>
          <w:sz w:val="24"/>
          <w:szCs w:val="24"/>
          <w:rtl w:val="0"/>
        </w:rPr>
        <w:t xml:space="preserve"> </w:t>
      </w:r>
      <w:r w:rsidDel="00000000" w:rsidR="00000000" w:rsidRPr="00000000">
        <w:rPr>
          <w:sz w:val="24"/>
          <w:szCs w:val="24"/>
          <w:rtl w:val="0"/>
        </w:rPr>
        <w:t xml:space="preserve">thành phố Hà Nội</w:t>
      </w:r>
      <w:r w:rsidDel="00000000" w:rsidR="00000000" w:rsidRPr="00000000">
        <w:rPr>
          <w:sz w:val="24"/>
          <w:szCs w:val="24"/>
          <w:rtl w:val="0"/>
        </w:rPr>
        <w:t xml:space="preserve"> </w:t>
      </w:r>
      <w:r w:rsidDel="00000000" w:rsidR="00000000" w:rsidRPr="00000000">
        <w:rPr>
          <w:sz w:val="24"/>
          <w:szCs w:val="24"/>
          <w:rtl w:val="0"/>
        </w:rPr>
        <w:t xml:space="preserve">Hà Nội</w:t>
      </w:r>
      <w:r w:rsidDel="00000000" w:rsidR="00000000" w:rsidRPr="00000000">
        <w:rPr>
          <w:sz w:val="24"/>
          <w:szCs w:val="24"/>
          <w:rtl w:val="0"/>
        </w:rPr>
        <w:t xml:space="preserve"> trong Nghị quyết số 11/2013/NQ-HĐND ngày 17/07/2013 của Hội đồng nhân dân </w:t>
      </w:r>
      <w:r w:rsidDel="00000000" w:rsidR="00000000" w:rsidRPr="00000000">
        <w:rPr>
          <w:sz w:val="24"/>
          <w:szCs w:val="24"/>
          <w:rtl w:val="0"/>
        </w:rPr>
        <w:t xml:space="preserve"> </w:t>
      </w:r>
      <w:r w:rsidDel="00000000" w:rsidR="00000000" w:rsidRPr="00000000">
        <w:rPr>
          <w:sz w:val="24"/>
          <w:szCs w:val="24"/>
          <w:rtl w:val="0"/>
        </w:rPr>
        <w:t xml:space="preserve">thành phố Hà Nội</w:t>
      </w:r>
      <w:r w:rsidDel="00000000" w:rsidR="00000000" w:rsidRPr="00000000">
        <w:rPr>
          <w:sz w:val="24"/>
          <w:szCs w:val="24"/>
          <w:rtl w:val="0"/>
        </w:rPr>
        <w:t xml:space="preserve"> </w:t>
      </w:r>
      <w:r w:rsidDel="00000000" w:rsidR="00000000" w:rsidRPr="00000000">
        <w:rPr>
          <w:sz w:val="24"/>
          <w:szCs w:val="24"/>
          <w:rtl w:val="0"/>
        </w:rPr>
        <w:t xml:space="preserve">Hà Nội</w:t>
      </w:r>
      <w:r w:rsidDel="00000000" w:rsidR="00000000" w:rsidRPr="00000000">
        <w:rPr>
          <w:sz w:val="24"/>
          <w:szCs w:val="24"/>
          <w:rtl w:val="0"/>
        </w:rPr>
        <w:t xml:space="preserve"> khóa XIV kỳ họp thứ 7 Quy định diện tích ở bình quân đối với nhà thuê ở nội thành để công dân được đăng ký thường trú ở nội thành thành phố Hà Nội: </w:t>
      </w:r>
      <w:r w:rsidDel="00000000" w:rsidR="00000000" w:rsidRPr="00000000">
        <w:rPr>
          <w:i w:val="1"/>
          <w:sz w:val="24"/>
          <w:szCs w:val="24"/>
          <w:rtl w:val="0"/>
        </w:rPr>
        <w:t xml:space="preserve">“Diện tích ở bình quân đối với nhà thuê ở nội thành để công dân được đăng ký thường trú ở nội thành thành phố Hà Nội đến hết năm 2015 tối thiểu là 15m2 sàn/đầu người”;</w:t>
      </w:r>
    </w:p>
    <w:p w:rsidR="00000000" w:rsidDel="00000000" w:rsidP="00000000" w:rsidRDefault="00000000" w:rsidRPr="00000000" w14:paraId="00000016">
      <w:pPr>
        <w:pStyle w:val="Heading2"/>
        <w:pBdr>
          <w:top w:color="auto" w:space="0" w:sz="0" w:val="none"/>
          <w:left w:color="auto" w:space="30" w:sz="0" w:val="none"/>
          <w:bottom w:color="auto" w:space="0" w:sz="0" w:val="none"/>
          <w:right w:color="auto" w:space="0" w:sz="0" w:val="none"/>
          <w:between w:color="auto" w:space="0" w:sz="0" w:val="none"/>
        </w:pBdr>
        <w:shd w:fill="ffffff" w:val="clear"/>
        <w:spacing w:before="0" w:lineRule="auto"/>
        <w:rPr>
          <w:i w:val="1"/>
          <w:sz w:val="24"/>
          <w:szCs w:val="24"/>
        </w:rPr>
      </w:pPr>
      <w:bookmarkStart w:colFirst="0" w:colLast="0" w:name="_7hs9n9uobpjp" w:id="0"/>
      <w:bookmarkEnd w:id="0"/>
      <w:r w:rsidDel="00000000" w:rsidR="00000000" w:rsidRPr="00000000">
        <w:rPr>
          <w:sz w:val="24"/>
          <w:szCs w:val="24"/>
          <w:rtl w:val="0"/>
        </w:rPr>
        <w:t xml:space="preserve">+ Căn cứ Điều 1 Quyết nghị của Hội đồng nhân dân </w:t>
      </w:r>
      <w:r w:rsidDel="00000000" w:rsidR="00000000" w:rsidRPr="00000000">
        <w:rPr>
          <w:sz w:val="24"/>
          <w:szCs w:val="24"/>
          <w:rtl w:val="0"/>
        </w:rPr>
        <w:t xml:space="preserve"> </w:t>
      </w:r>
      <w:r w:rsidDel="00000000" w:rsidR="00000000" w:rsidRPr="00000000">
        <w:rPr>
          <w:sz w:val="24"/>
          <w:szCs w:val="24"/>
          <w:rtl w:val="0"/>
        </w:rPr>
        <w:t xml:space="preserve">thành phố Hà Nội</w:t>
      </w:r>
      <w:r w:rsidDel="00000000" w:rsidR="00000000" w:rsidRPr="00000000">
        <w:rPr>
          <w:sz w:val="24"/>
          <w:szCs w:val="24"/>
          <w:rtl w:val="0"/>
        </w:rPr>
        <w:t xml:space="preserve"> </w:t>
      </w:r>
      <w:r w:rsidDel="00000000" w:rsidR="00000000" w:rsidRPr="00000000">
        <w:rPr>
          <w:sz w:val="24"/>
          <w:szCs w:val="24"/>
          <w:rtl w:val="0"/>
        </w:rPr>
        <w:t xml:space="preserve">Hà Nội</w:t>
      </w:r>
      <w:r w:rsidDel="00000000" w:rsidR="00000000" w:rsidRPr="00000000">
        <w:rPr>
          <w:sz w:val="24"/>
          <w:szCs w:val="24"/>
          <w:rtl w:val="0"/>
        </w:rPr>
        <w:t xml:space="preserve"> trong Nghị quyết số 21/2016/NQ-HĐND ngày 06/12/2016 của Hội đồng nhân dân </w:t>
      </w:r>
      <w:r w:rsidDel="00000000" w:rsidR="00000000" w:rsidRPr="00000000">
        <w:rPr>
          <w:sz w:val="24"/>
          <w:szCs w:val="24"/>
          <w:rtl w:val="0"/>
        </w:rPr>
        <w:t xml:space="preserve"> </w:t>
      </w:r>
      <w:r w:rsidDel="00000000" w:rsidR="00000000" w:rsidRPr="00000000">
        <w:rPr>
          <w:sz w:val="24"/>
          <w:szCs w:val="24"/>
          <w:rtl w:val="0"/>
        </w:rPr>
        <w:t xml:space="preserve">thành phố Hà Nội</w:t>
      </w:r>
      <w:r w:rsidDel="00000000" w:rsidR="00000000" w:rsidRPr="00000000">
        <w:rPr>
          <w:sz w:val="24"/>
          <w:szCs w:val="24"/>
          <w:rtl w:val="0"/>
        </w:rPr>
        <w:t xml:space="preserve"> </w:t>
      </w:r>
      <w:r w:rsidDel="00000000" w:rsidR="00000000" w:rsidRPr="00000000">
        <w:rPr>
          <w:sz w:val="24"/>
          <w:szCs w:val="24"/>
          <w:rtl w:val="0"/>
        </w:rPr>
        <w:t xml:space="preserve">Hà Nội</w:t>
      </w:r>
      <w:r w:rsidDel="00000000" w:rsidR="00000000" w:rsidRPr="00000000">
        <w:rPr>
          <w:sz w:val="24"/>
          <w:szCs w:val="24"/>
          <w:rtl w:val="0"/>
        </w:rPr>
        <w:t xml:space="preserve"> khóa XV kỳ họp thứ 3 Về việc kéo dài thời hạn áp dụng Nghị quyết số 11/2013/NQ-HĐND ngày 17/07/2013 của Hội đồng nhân dân thành phố về quy định diện tích ở bình quân đối với nhà thuê ở nội thành để công dân được đăng ký thường trú ở nội thành thành phố Hà Nội và ủy quyền cho Thường trực Hội đồng nhân dân thành phố xem xét, cho ý kiến các dự án đầu tư xây dựng nhà ở thuộc thẩm quyền của Hội đồng nhân dân thành phố theo quy định tại khoản 5 Điều 9 Nghị định số 99/2015/NĐ-CP ngày 20/10/2015 của Chính phủ: </w:t>
      </w:r>
      <w:r w:rsidDel="00000000" w:rsidR="00000000" w:rsidRPr="00000000">
        <w:rPr>
          <w:i w:val="1"/>
          <w:sz w:val="24"/>
          <w:szCs w:val="24"/>
          <w:rtl w:val="0"/>
        </w:rPr>
        <w:t xml:space="preserve">“Kéo dài thời hạn áp dụng Nghị quyết số 11/2013/NQ-HĐND thành phố về quy định diện tích ở bình quân đối với nhà thuê ở nội thành để công dân được đăng ký thường trú ở nội thành </w:t>
      </w:r>
      <w:r w:rsidDel="00000000" w:rsidR="00000000" w:rsidRPr="00000000">
        <w:rPr>
          <w:i w:val="1"/>
          <w:sz w:val="24"/>
          <w:szCs w:val="24"/>
          <w:rtl w:val="0"/>
        </w:rPr>
        <w:t xml:space="preserve"> </w:t>
      </w:r>
      <w:r w:rsidDel="00000000" w:rsidR="00000000" w:rsidRPr="00000000">
        <w:rPr>
          <w:i w:val="1"/>
          <w:sz w:val="24"/>
          <w:szCs w:val="24"/>
          <w:rtl w:val="0"/>
        </w:rPr>
        <w:t xml:space="preserve">thành phố Hà Nội</w:t>
      </w:r>
      <w:r w:rsidDel="00000000" w:rsidR="00000000" w:rsidRPr="00000000">
        <w:rPr>
          <w:i w:val="1"/>
          <w:sz w:val="24"/>
          <w:szCs w:val="24"/>
          <w:rtl w:val="0"/>
        </w:rPr>
        <w:t xml:space="preserve"> </w:t>
      </w:r>
      <w:r w:rsidDel="00000000" w:rsidR="00000000" w:rsidRPr="00000000">
        <w:rPr>
          <w:i w:val="1"/>
          <w:sz w:val="24"/>
          <w:szCs w:val="24"/>
          <w:rtl w:val="0"/>
        </w:rPr>
        <w:t xml:space="preserve">Hà Nội</w:t>
      </w:r>
      <w:r w:rsidDel="00000000" w:rsidR="00000000" w:rsidRPr="00000000">
        <w:rPr>
          <w:i w:val="1"/>
          <w:sz w:val="24"/>
          <w:szCs w:val="24"/>
          <w:rtl w:val="0"/>
        </w:rPr>
        <w:t xml:space="preserve"> đến hết năm 2020”.</w:t>
      </w:r>
    </w:p>
    <w:p w:rsidR="00000000" w:rsidDel="00000000" w:rsidP="00000000" w:rsidRDefault="00000000" w:rsidRPr="00000000" w14:paraId="00000017">
      <w:pPr>
        <w:pStyle w:val="Heading2"/>
        <w:pBdr>
          <w:top w:color="auto" w:space="0" w:sz="0" w:val="none"/>
          <w:left w:color="auto" w:space="0" w:sz="0" w:val="none"/>
          <w:bottom w:color="auto" w:space="0" w:sz="0" w:val="none"/>
          <w:right w:color="auto" w:space="0" w:sz="0" w:val="none"/>
          <w:between w:color="auto" w:space="0" w:sz="0" w:val="none"/>
        </w:pBdr>
        <w:shd w:fill="ffffff" w:val="clear"/>
        <w:spacing w:before="0" w:lineRule="auto"/>
        <w:rPr>
          <w:sz w:val="24"/>
          <w:szCs w:val="24"/>
        </w:rPr>
      </w:pPr>
      <w:bookmarkStart w:colFirst="0" w:colLast="0" w:name="_7hs9n9uobpjp" w:id="0"/>
      <w:bookmarkEnd w:id="0"/>
      <w:r w:rsidDel="00000000" w:rsidR="00000000" w:rsidRPr="00000000">
        <w:rPr>
          <w:sz w:val="24"/>
          <w:szCs w:val="24"/>
          <w:rtl w:val="0"/>
        </w:rPr>
        <w:t xml:space="preserve">Lý do làm đơn: Thực hiện thủ tục đăng ký thường trú.</w:t>
      </w:r>
    </w:p>
    <w:p w:rsidR="00000000" w:rsidDel="00000000" w:rsidP="00000000" w:rsidRDefault="00000000" w:rsidRPr="00000000" w14:paraId="00000018">
      <w:pPr>
        <w:pStyle w:val="Heading2"/>
        <w:pBdr>
          <w:top w:color="auto" w:space="0" w:sz="0" w:val="none"/>
          <w:left w:color="auto" w:space="0" w:sz="0" w:val="none"/>
          <w:bottom w:color="auto" w:space="0" w:sz="0" w:val="none"/>
          <w:right w:color="auto" w:space="0" w:sz="0" w:val="none"/>
          <w:between w:color="auto" w:space="0" w:sz="0" w:val="none"/>
        </w:pBdr>
        <w:shd w:fill="ffffff" w:val="clear"/>
        <w:spacing w:before="0" w:lineRule="auto"/>
        <w:rPr>
          <w:sz w:val="24"/>
          <w:szCs w:val="24"/>
        </w:rPr>
      </w:pPr>
      <w:bookmarkStart w:colFirst="0" w:colLast="0" w:name="_7hs9n9uobpjp" w:id="0"/>
      <w:bookmarkEnd w:id="0"/>
      <w:r w:rsidDel="00000000" w:rsidR="00000000" w:rsidRPr="00000000">
        <w:rPr>
          <w:sz w:val="24"/>
          <w:szCs w:val="24"/>
          <w:rtl w:val="0"/>
        </w:rPr>
        <w:t xml:space="preserve">Do vậy, tôi làm đơn này kính xin quý cơ quan xác nhận chỗ ở của gia đình tôi hiện đang sinh sống tại địa chỉ số 89 ngõ 66 đường Nguyễn Khang, phường Yên Hòa, quận Cầu Giấy, </w:t>
      </w:r>
      <w:r w:rsidDel="00000000" w:rsidR="00000000" w:rsidRPr="00000000">
        <w:rPr>
          <w:sz w:val="24"/>
          <w:szCs w:val="24"/>
          <w:rtl w:val="0"/>
        </w:rPr>
        <w:t xml:space="preserve"> </w:t>
      </w:r>
      <w:r w:rsidDel="00000000" w:rsidR="00000000" w:rsidRPr="00000000">
        <w:rPr>
          <w:sz w:val="24"/>
          <w:szCs w:val="24"/>
          <w:rtl w:val="0"/>
        </w:rPr>
        <w:t xml:space="preserve">thành phố Hà Nội</w:t>
      </w:r>
      <w:r w:rsidDel="00000000" w:rsidR="00000000" w:rsidRPr="00000000">
        <w:rPr>
          <w:sz w:val="24"/>
          <w:szCs w:val="24"/>
          <w:rtl w:val="0"/>
        </w:rPr>
        <w:t xml:space="preserve"> </w:t>
      </w:r>
      <w:r w:rsidDel="00000000" w:rsidR="00000000" w:rsidRPr="00000000">
        <w:rPr>
          <w:sz w:val="24"/>
          <w:szCs w:val="24"/>
          <w:rtl w:val="0"/>
        </w:rPr>
        <w:t xml:space="preserve">Hà Nội</w:t>
      </w:r>
      <w:r w:rsidDel="00000000" w:rsidR="00000000" w:rsidRPr="00000000">
        <w:rPr>
          <w:sz w:val="24"/>
          <w:szCs w:val="24"/>
          <w:rtl w:val="0"/>
        </w:rPr>
        <w:t xml:space="preserve"> đáp ứng tiêu chuẩn về diện tích ở bình quân đối với nhà thuê ở nội thành thành phố Hà Nội.</w:t>
      </w:r>
    </w:p>
    <w:p w:rsidR="00000000" w:rsidDel="00000000" w:rsidP="00000000" w:rsidRDefault="00000000" w:rsidRPr="00000000" w14:paraId="00000019">
      <w:pPr>
        <w:pStyle w:val="Heading2"/>
        <w:pBdr>
          <w:top w:color="auto" w:space="0" w:sz="0" w:val="none"/>
          <w:left w:color="auto" w:space="0" w:sz="0" w:val="none"/>
          <w:bottom w:color="auto" w:space="0" w:sz="0" w:val="none"/>
          <w:right w:color="auto" w:space="0" w:sz="0" w:val="none"/>
          <w:between w:color="auto" w:space="0" w:sz="0" w:val="none"/>
        </w:pBdr>
        <w:shd w:fill="ffffff" w:val="clear"/>
        <w:spacing w:before="0" w:lineRule="auto"/>
        <w:rPr>
          <w:sz w:val="24"/>
          <w:szCs w:val="24"/>
        </w:rPr>
      </w:pPr>
      <w:bookmarkStart w:colFirst="0" w:colLast="0" w:name="_7hs9n9uobpjp" w:id="0"/>
      <w:bookmarkEnd w:id="0"/>
      <w:r w:rsidDel="00000000" w:rsidR="00000000" w:rsidRPr="00000000">
        <w:rPr>
          <w:sz w:val="24"/>
          <w:szCs w:val="24"/>
          <w:rtl w:val="0"/>
        </w:rPr>
        <w:t xml:space="preserve">Mong sớm nhận được phản hồi từ quý cơ quan.</w:t>
      </w:r>
    </w:p>
    <w:p w:rsidR="00000000" w:rsidDel="00000000" w:rsidP="00000000" w:rsidRDefault="00000000" w:rsidRPr="00000000" w14:paraId="0000001A">
      <w:pPr>
        <w:pStyle w:val="Heading2"/>
        <w:pBdr>
          <w:top w:color="auto" w:space="0" w:sz="0" w:val="none"/>
          <w:left w:color="auto" w:space="0" w:sz="0" w:val="none"/>
          <w:bottom w:color="auto" w:space="0" w:sz="0" w:val="none"/>
          <w:right w:color="auto" w:space="0" w:sz="0" w:val="none"/>
          <w:between w:color="auto" w:space="0" w:sz="0" w:val="none"/>
        </w:pBdr>
        <w:shd w:fill="ffffff" w:val="clear"/>
        <w:spacing w:before="0" w:lineRule="auto"/>
        <w:rPr>
          <w:sz w:val="24"/>
          <w:szCs w:val="24"/>
        </w:rPr>
      </w:pPr>
      <w:bookmarkStart w:colFirst="0" w:colLast="0" w:name="_7hs9n9uobpjp" w:id="0"/>
      <w:bookmarkEnd w:id="0"/>
      <w:r w:rsidDel="00000000" w:rsidR="00000000" w:rsidRPr="00000000">
        <w:rPr>
          <w:sz w:val="24"/>
          <w:szCs w:val="24"/>
          <w:rtl w:val="0"/>
        </w:rPr>
        <w:t xml:space="preserve">Tôi chân thành cảm ơn!</w:t>
      </w:r>
    </w:p>
    <w:tbl>
      <w:tblPr>
        <w:tblStyle w:val="Table2"/>
        <w:tblW w:w="9360.0" w:type="dxa"/>
        <w:jc w:val="left"/>
        <w:tblBorders>
          <w:top w:color="000000" w:space="0" w:sz="6" w:val="single"/>
          <w:left w:color="000000" w:space="0" w:sz="6" w:val="single"/>
          <w:bottom w:color="000000" w:space="0" w:sz="0" w:val="nil"/>
          <w:right w:color="000000" w:space="0" w:sz="0" w:val="nil"/>
          <w:insideH w:color="000000" w:space="0" w:sz="6" w:val="single"/>
          <w:insideV w:color="000000" w:space="0" w:sz="6" w:val="single"/>
        </w:tblBorders>
        <w:tblLayout w:type="fixed"/>
        <w:tblLook w:val="0600"/>
      </w:tblPr>
      <w:tblGrid>
        <w:gridCol w:w="4631.031390134529"/>
        <w:gridCol w:w="4728.968609865471"/>
        <w:tblGridChange w:id="0">
          <w:tblGrid>
            <w:gridCol w:w="4631.031390134529"/>
            <w:gridCol w:w="4728.968609865471"/>
          </w:tblGrid>
        </w:tblGridChange>
      </w:tblGrid>
      <w:tr>
        <w:trPr>
          <w:cantSplit w:val="0"/>
          <w:trHeight w:val="1425" w:hRule="atLeast"/>
          <w:tblHeader w:val="0"/>
        </w:trPr>
        <w:tc>
          <w:tcPr>
            <w:tcBorders>
              <w:top w:color="000000" w:space="0" w:sz="0" w:val="nil"/>
              <w:left w:color="000000" w:space="0" w:sz="0" w:val="nil"/>
              <w:bottom w:color="000000" w:space="0" w:sz="6" w:val="single"/>
              <w:right w:color="000000" w:space="0" w:sz="6" w:val="single"/>
            </w:tcBorders>
            <w:tcMar>
              <w:top w:w="120.0" w:type="dxa"/>
              <w:left w:w="120.0" w:type="dxa"/>
              <w:bottom w:w="120.0" w:type="dxa"/>
              <w:right w:w="120.0" w:type="dxa"/>
            </w:tcMar>
            <w:vAlign w:val="center"/>
          </w:tcPr>
          <w:p w:rsidR="00000000" w:rsidDel="00000000" w:rsidP="00000000" w:rsidRDefault="00000000" w:rsidRPr="00000000" w14:paraId="0000001B">
            <w:pPr>
              <w:pStyle w:val="Heading2"/>
              <w:spacing w:after="360" w:before="0" w:lineRule="auto"/>
              <w:jc w:val="center"/>
              <w:rPr>
                <w:sz w:val="24"/>
                <w:szCs w:val="24"/>
              </w:rPr>
            </w:pPr>
            <w:bookmarkStart w:colFirst="0" w:colLast="0" w:name="_7hs9n9uobpjp" w:id="0"/>
            <w:bookmarkEnd w:id="0"/>
            <w:r w:rsidDel="00000000" w:rsidR="00000000" w:rsidRPr="00000000">
              <w:rPr>
                <w:b w:val="1"/>
                <w:sz w:val="24"/>
                <w:szCs w:val="24"/>
                <w:rtl w:val="0"/>
              </w:rPr>
              <w:t xml:space="preserve">Xác nhận của UBND phường Yên Hòa</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120.0" w:type="dxa"/>
              <w:left w:w="120.0" w:type="dxa"/>
              <w:bottom w:w="120.0" w:type="dxa"/>
              <w:right w:w="120.0" w:type="dxa"/>
            </w:tcMar>
            <w:vAlign w:val="center"/>
          </w:tcPr>
          <w:p w:rsidR="00000000" w:rsidDel="00000000" w:rsidP="00000000" w:rsidRDefault="00000000" w:rsidRPr="00000000" w14:paraId="0000001C">
            <w:pPr>
              <w:pStyle w:val="Heading2"/>
              <w:spacing w:after="360" w:before="0" w:lineRule="auto"/>
              <w:jc w:val="center"/>
              <w:rPr>
                <w:b w:val="1"/>
                <w:sz w:val="24"/>
                <w:szCs w:val="24"/>
              </w:rPr>
            </w:pPr>
            <w:bookmarkStart w:colFirst="0" w:colLast="0" w:name="_7hs9n9uobpjp" w:id="0"/>
            <w:bookmarkEnd w:id="0"/>
            <w:r w:rsidDel="00000000" w:rsidR="00000000" w:rsidRPr="00000000">
              <w:rPr>
                <w:b w:val="1"/>
                <w:sz w:val="24"/>
                <w:szCs w:val="24"/>
                <w:rtl w:val="0"/>
              </w:rPr>
              <w:t xml:space="preserve">Người làm đơn</w:t>
            </w:r>
          </w:p>
          <w:p w:rsidR="00000000" w:rsidDel="00000000" w:rsidP="00000000" w:rsidRDefault="00000000" w:rsidRPr="00000000" w14:paraId="0000001D">
            <w:pPr>
              <w:pStyle w:val="Heading2"/>
              <w:pBdr>
                <w:top w:color="auto" w:space="0" w:sz="0" w:val="none"/>
                <w:left w:color="auto" w:space="0" w:sz="0" w:val="none"/>
                <w:bottom w:color="auto" w:space="0" w:sz="0" w:val="none"/>
                <w:right w:color="auto" w:space="0" w:sz="0" w:val="none"/>
                <w:between w:color="auto" w:space="0" w:sz="0" w:val="none"/>
              </w:pBdr>
              <w:spacing w:after="480" w:before="0" w:lineRule="auto"/>
              <w:jc w:val="center"/>
              <w:rPr>
                <w:b w:val="1"/>
                <w:sz w:val="24"/>
                <w:szCs w:val="24"/>
              </w:rPr>
            </w:pPr>
            <w:bookmarkStart w:colFirst="0" w:colLast="0" w:name="_7hs9n9uobpjp" w:id="0"/>
            <w:bookmarkEnd w:id="0"/>
            <w:r w:rsidDel="00000000" w:rsidR="00000000" w:rsidRPr="00000000">
              <w:rPr>
                <w:b w:val="1"/>
                <w:sz w:val="24"/>
                <w:szCs w:val="24"/>
                <w:rtl w:val="0"/>
              </w:rPr>
              <w:t xml:space="preserve"> </w:t>
            </w:r>
          </w:p>
          <w:p w:rsidR="00000000" w:rsidDel="00000000" w:rsidP="00000000" w:rsidRDefault="00000000" w:rsidRPr="00000000" w14:paraId="0000001E">
            <w:pPr>
              <w:pStyle w:val="Heading2"/>
              <w:pBdr>
                <w:top w:color="auto" w:space="0" w:sz="0" w:val="none"/>
                <w:left w:color="auto" w:space="0" w:sz="0" w:val="none"/>
                <w:bottom w:color="auto" w:space="0" w:sz="0" w:val="none"/>
                <w:right w:color="auto" w:space="0" w:sz="0" w:val="none"/>
                <w:between w:color="auto" w:space="0" w:sz="0" w:val="none"/>
              </w:pBdr>
              <w:spacing w:after="480" w:before="0" w:lineRule="auto"/>
              <w:jc w:val="center"/>
              <w:rPr>
                <w:b w:val="1"/>
                <w:sz w:val="24"/>
                <w:szCs w:val="24"/>
              </w:rPr>
            </w:pPr>
            <w:bookmarkStart w:colFirst="0" w:colLast="0" w:name="_6v32n4pl8h29" w:id="2"/>
            <w:bookmarkEnd w:id="2"/>
            <w:r w:rsidDel="00000000" w:rsidR="00000000" w:rsidRPr="00000000">
              <w:rPr>
                <w:b w:val="1"/>
                <w:sz w:val="24"/>
                <w:szCs w:val="24"/>
                <w:rtl w:val="0"/>
              </w:rPr>
              <w:t xml:space="preserve">Trần Văn Trường</w:t>
            </w:r>
          </w:p>
        </w:tc>
      </w:tr>
    </w:tbl>
    <w:p w:rsidR="00000000" w:rsidDel="00000000" w:rsidP="00000000" w:rsidRDefault="00000000" w:rsidRPr="00000000" w14:paraId="0000001F">
      <w:pPr>
        <w:pStyle w:val="Heading2"/>
        <w:rPr>
          <w:color w:val="cccccc"/>
          <w:sz w:val="16"/>
          <w:szCs w:val="16"/>
        </w:rPr>
      </w:pPr>
      <w:bookmarkStart w:colFirst="0" w:colLast="0" w:name="_7hs9n9uobpjp" w:id="0"/>
      <w:bookmarkEnd w:id="0"/>
      <w:r w:rsidDel="00000000" w:rsidR="00000000" w:rsidRPr="00000000">
        <w:rPr>
          <w:color w:val="cccccc"/>
          <w:sz w:val="16"/>
          <w:szCs w:val="16"/>
          <w:rtl w:val="0"/>
        </w:rPr>
        <w:t xml:space="preserve">Nguồn: wikiluat</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